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E226C" w14:textId="31CB761B" w:rsidR="0084323B" w:rsidRDefault="0084323B" w:rsidP="0084323B">
      <w:pPr>
        <w:pBdr>
          <w:bottom w:val="single" w:sz="6" w:space="1" w:color="auto"/>
        </w:pBdr>
        <w:rPr>
          <w:lang w:val="nl-BE"/>
        </w:rPr>
      </w:pPr>
      <w:r w:rsidRPr="0084323B">
        <w:rPr>
          <w:lang w:val="nl-BE"/>
        </w:rPr>
        <w:t>Uittreksel voorontwerp van wet h</w:t>
      </w:r>
      <w:r>
        <w:rPr>
          <w:lang w:val="nl-BE"/>
        </w:rPr>
        <w:t>oudende diverse bepalingen inzake gezondheid – goedgekeurd door de ministerraad van 23/06/’23 en overgezonden aan de Raad van State voor advies.</w:t>
      </w:r>
    </w:p>
    <w:p w14:paraId="788F6981" w14:textId="79D793E0" w:rsidR="0084323B" w:rsidRDefault="0084323B">
      <w:pPr>
        <w:rPr>
          <w:lang w:val="nl-BE"/>
        </w:rPr>
      </w:pPr>
      <w:r>
        <w:rPr>
          <w:lang w:val="nl-BE"/>
        </w:rPr>
        <w:t>Artikel</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5"/>
        <w:gridCol w:w="4675"/>
        <w:tblGridChange w:id="0">
          <w:tblGrid>
            <w:gridCol w:w="4675"/>
            <w:gridCol w:w="4675"/>
          </w:tblGrid>
        </w:tblGridChange>
      </w:tblGrid>
      <w:tr w:rsidR="0084323B" w:rsidRPr="00D02121" w14:paraId="02393ED8" w14:textId="77777777" w:rsidTr="0084323B">
        <w:trPr>
          <w:trHeight w:val="68"/>
        </w:trPr>
        <w:tc>
          <w:tcPr>
            <w:tcW w:w="4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3E9DB9" w14:textId="77777777" w:rsidR="0084323B" w:rsidRPr="0084323B" w:rsidRDefault="0084323B" w:rsidP="0084323B">
            <w:pPr>
              <w:rPr>
                <w:rFonts w:ascii="Arial" w:hAnsi="Arial" w:cs="Arial"/>
                <w:b/>
                <w:bCs/>
                <w:i/>
                <w:iCs/>
                <w:lang w:val="nl-BE"/>
              </w:rPr>
            </w:pPr>
            <w:r w:rsidRPr="0084323B">
              <w:rPr>
                <w:rFonts w:ascii="Arial" w:hAnsi="Arial" w:cs="Arial"/>
                <w:b/>
                <w:bCs/>
                <w:i/>
                <w:iCs/>
                <w:lang w:val="nl-BE"/>
              </w:rPr>
              <w:t>HOOFDSTUK 3   -  WIJZIGING van de Gecoördineerde wet van 10 juli 2008 op de ziekenhuizen en andere verzorgingsinrichtingen</w:t>
            </w:r>
          </w:p>
        </w:tc>
        <w:tc>
          <w:tcPr>
            <w:tcW w:w="4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35C7A8" w14:textId="77777777" w:rsidR="0084323B" w:rsidRPr="0084323B" w:rsidRDefault="0084323B" w:rsidP="0084323B">
            <w:pPr>
              <w:rPr>
                <w:rFonts w:ascii="Arial" w:hAnsi="Arial" w:cs="Arial"/>
                <w:b/>
                <w:bCs/>
                <w:i/>
                <w:iCs/>
                <w:lang w:val="fr-FR"/>
              </w:rPr>
            </w:pPr>
            <w:r w:rsidRPr="0084323B">
              <w:rPr>
                <w:rFonts w:ascii="Arial" w:hAnsi="Arial" w:cs="Arial"/>
                <w:b/>
                <w:bCs/>
                <w:i/>
                <w:iCs/>
                <w:lang w:val="fr-FR"/>
              </w:rPr>
              <w:t>Chapitre 3   -  Modification de la loi coordonnée du 10 juillet 2008 sur les hôpitaux et autres établissements de soins</w:t>
            </w:r>
          </w:p>
        </w:tc>
      </w:tr>
      <w:tr w:rsidR="0084323B" w:rsidRPr="0084323B" w14:paraId="31BC2C50" w14:textId="77777777" w:rsidTr="0084323B">
        <w:trPr>
          <w:trHeight w:val="68"/>
        </w:trPr>
        <w:tc>
          <w:tcPr>
            <w:tcW w:w="4675" w:type="dxa"/>
            <w:tcMar>
              <w:top w:w="0" w:type="dxa"/>
              <w:left w:w="108" w:type="dxa"/>
              <w:bottom w:w="0" w:type="dxa"/>
              <w:right w:w="108" w:type="dxa"/>
            </w:tcMar>
            <w:hideMark/>
          </w:tcPr>
          <w:p w14:paraId="7D1D82D7" w14:textId="77777777" w:rsidR="0084323B" w:rsidRDefault="0084323B">
            <w:pPr>
              <w:rPr>
                <w:rFonts w:ascii="Arial" w:hAnsi="Arial" w:cs="Arial"/>
                <w:b/>
                <w:bCs/>
                <w:caps/>
                <w:lang w:val="fr-BE"/>
                <w14:ligatures w14:val="none"/>
              </w:rPr>
            </w:pPr>
            <w:r>
              <w:rPr>
                <w:rFonts w:ascii="Arial" w:hAnsi="Arial" w:cs="Arial"/>
                <w:b/>
                <w:bCs/>
                <w:i/>
                <w:iCs/>
                <w:lang w:val="nl-BE"/>
              </w:rPr>
              <w:t>Afdeling 3 –  Supplementen medische beeldvorming</w:t>
            </w:r>
          </w:p>
        </w:tc>
        <w:tc>
          <w:tcPr>
            <w:tcW w:w="4675" w:type="dxa"/>
            <w:tcMar>
              <w:top w:w="0" w:type="dxa"/>
              <w:left w:w="108" w:type="dxa"/>
              <w:bottom w:w="0" w:type="dxa"/>
              <w:right w:w="108" w:type="dxa"/>
            </w:tcMar>
            <w:hideMark/>
          </w:tcPr>
          <w:p w14:paraId="70316352" w14:textId="77777777" w:rsidR="0084323B" w:rsidRDefault="0084323B">
            <w:pPr>
              <w:rPr>
                <w:rFonts w:ascii="Arial" w:hAnsi="Arial" w:cs="Arial"/>
                <w:b/>
                <w:bCs/>
                <w:caps/>
                <w:color w:val="00B0F0"/>
                <w:lang w:val="fr-BE"/>
              </w:rPr>
            </w:pPr>
            <w:r>
              <w:rPr>
                <w:rFonts w:ascii="Arial" w:hAnsi="Arial" w:cs="Arial"/>
                <w:b/>
                <w:bCs/>
                <w:i/>
                <w:iCs/>
                <w:lang w:val="fr-FR"/>
              </w:rPr>
              <w:t xml:space="preserve">Section 3 </w:t>
            </w:r>
            <w:r>
              <w:rPr>
                <w:rFonts w:ascii="Arial" w:hAnsi="Arial" w:cs="Arial"/>
                <w:b/>
                <w:bCs/>
                <w:i/>
                <w:iCs/>
                <w:lang w:val="fr-BE"/>
              </w:rPr>
              <w:t xml:space="preserve">– </w:t>
            </w:r>
            <w:r>
              <w:rPr>
                <w:rFonts w:ascii="Arial" w:hAnsi="Arial" w:cs="Arial"/>
                <w:b/>
                <w:bCs/>
                <w:i/>
                <w:iCs/>
                <w:lang w:val="fr-FR"/>
              </w:rPr>
              <w:t>  </w:t>
            </w:r>
            <w:r>
              <w:rPr>
                <w:rFonts w:ascii="Arial" w:hAnsi="Arial" w:cs="Arial"/>
                <w:b/>
                <w:bCs/>
                <w:i/>
                <w:iCs/>
                <w:lang w:val="fr-BE"/>
              </w:rPr>
              <w:t>Suppléments en imagerie médicale</w:t>
            </w:r>
          </w:p>
        </w:tc>
      </w:tr>
      <w:tr w:rsidR="0084323B" w:rsidRPr="0084323B" w14:paraId="2C474338" w14:textId="77777777" w:rsidTr="0084323B">
        <w:trPr>
          <w:trHeight w:val="68"/>
        </w:trPr>
        <w:tc>
          <w:tcPr>
            <w:tcW w:w="4675" w:type="dxa"/>
            <w:tcMar>
              <w:top w:w="0" w:type="dxa"/>
              <w:left w:w="108" w:type="dxa"/>
              <w:bottom w:w="0" w:type="dxa"/>
              <w:right w:w="108" w:type="dxa"/>
            </w:tcMar>
            <w:hideMark/>
          </w:tcPr>
          <w:p w14:paraId="45CFAE80" w14:textId="77777777" w:rsidR="0084323B" w:rsidRDefault="0084323B">
            <w:pPr>
              <w:jc w:val="both"/>
              <w:rPr>
                <w:rFonts w:ascii="Calibri" w:hAnsi="Calibri" w:cs="Calibri"/>
                <w:b/>
                <w:bCs/>
                <w:lang w:val="nl-BE"/>
              </w:rPr>
            </w:pPr>
            <w:r>
              <w:rPr>
                <w:b/>
                <w:bCs/>
                <w:lang w:val="nl-BE"/>
              </w:rPr>
              <w:t xml:space="preserve">Art. 11.  </w:t>
            </w:r>
            <w:r>
              <w:rPr>
                <w:lang w:val="nl-BE"/>
              </w:rPr>
              <w:t>In dezelfde wet wordt een artikel 152/1 ingevoegd, luidende:</w:t>
            </w:r>
          </w:p>
        </w:tc>
        <w:tc>
          <w:tcPr>
            <w:tcW w:w="4675" w:type="dxa"/>
            <w:tcMar>
              <w:top w:w="0" w:type="dxa"/>
              <w:left w:w="108" w:type="dxa"/>
              <w:bottom w:w="0" w:type="dxa"/>
              <w:right w:w="108" w:type="dxa"/>
            </w:tcMar>
            <w:hideMark/>
          </w:tcPr>
          <w:p w14:paraId="4B663D37" w14:textId="77777777" w:rsidR="0084323B" w:rsidRDefault="0084323B">
            <w:pPr>
              <w:jc w:val="both"/>
              <w:rPr>
                <w:rFonts w:ascii="Arial" w:hAnsi="Arial" w:cs="Arial"/>
                <w:b/>
                <w:bCs/>
                <w:caps/>
                <w:color w:val="00B0F0"/>
                <w:lang w:val="fr-BE"/>
              </w:rPr>
            </w:pPr>
            <w:r>
              <w:rPr>
                <w:b/>
                <w:bCs/>
                <w:lang w:val="fr-BE"/>
              </w:rPr>
              <w:t xml:space="preserve">Art. 11.  </w:t>
            </w:r>
            <w:r>
              <w:rPr>
                <w:lang w:val="fr-BE"/>
              </w:rPr>
              <w:t>Dans la même loi un article 152/1 est inséré, rédigé comme suit:</w:t>
            </w:r>
          </w:p>
        </w:tc>
      </w:tr>
      <w:tr w:rsidR="0084323B" w:rsidRPr="0084323B" w14:paraId="0CD59632" w14:textId="77777777" w:rsidTr="0084323B">
        <w:trPr>
          <w:trHeight w:val="68"/>
        </w:trPr>
        <w:tc>
          <w:tcPr>
            <w:tcW w:w="4675" w:type="dxa"/>
            <w:tcMar>
              <w:top w:w="0" w:type="dxa"/>
              <w:left w:w="108" w:type="dxa"/>
              <w:bottom w:w="0" w:type="dxa"/>
              <w:right w:w="108" w:type="dxa"/>
            </w:tcMar>
            <w:hideMark/>
          </w:tcPr>
          <w:p w14:paraId="44EA85D3" w14:textId="77777777" w:rsidR="0084323B" w:rsidRDefault="0084323B">
            <w:pPr>
              <w:jc w:val="both"/>
              <w:rPr>
                <w:rFonts w:ascii="Calibri" w:hAnsi="Calibri" w:cs="Calibri"/>
                <w:lang w:val="nl-BE"/>
              </w:rPr>
            </w:pPr>
            <w:r>
              <w:rPr>
                <w:lang w:val="nl-BE"/>
              </w:rPr>
              <w:t>“Art. 152/1.  § 1. Dit artikel is van toepassing op patiënten die niet gehospitaliseerd zijn en aan wie in het ziekenhuis verstrekkingen worden verleend met toepassing van zware medische beeldvorming zoals bedoeld in artikel 52 van deze wet.</w:t>
            </w:r>
          </w:p>
        </w:tc>
        <w:tc>
          <w:tcPr>
            <w:tcW w:w="4675" w:type="dxa"/>
            <w:tcMar>
              <w:top w:w="0" w:type="dxa"/>
              <w:left w:w="108" w:type="dxa"/>
              <w:bottom w:w="0" w:type="dxa"/>
              <w:right w:w="108" w:type="dxa"/>
            </w:tcMar>
            <w:hideMark/>
          </w:tcPr>
          <w:p w14:paraId="741CB841" w14:textId="77777777" w:rsidR="0084323B" w:rsidRDefault="0084323B">
            <w:pPr>
              <w:jc w:val="both"/>
              <w:rPr>
                <w:lang w:val="fr-BE"/>
              </w:rPr>
            </w:pPr>
            <w:r>
              <w:rPr>
                <w:lang w:val="fr-BE"/>
              </w:rPr>
              <w:t xml:space="preserve">“Art. 152/1.  § 1er. Le présent article est applicable aux patients qui ne sont pas hospitalisés et à qui des prestations sont fournies à l’hôpital en appliquant de l’imagerie médical lourde tel que visé à l’article 52 de la présente loi. </w:t>
            </w:r>
          </w:p>
        </w:tc>
      </w:tr>
      <w:tr w:rsidR="0084323B" w:rsidRPr="0084323B" w14:paraId="12AB3770" w14:textId="77777777" w:rsidTr="0084323B">
        <w:trPr>
          <w:trHeight w:val="68"/>
        </w:trPr>
        <w:tc>
          <w:tcPr>
            <w:tcW w:w="4675" w:type="dxa"/>
            <w:tcMar>
              <w:top w:w="0" w:type="dxa"/>
              <w:left w:w="108" w:type="dxa"/>
              <w:bottom w:w="0" w:type="dxa"/>
              <w:right w:w="108" w:type="dxa"/>
            </w:tcMar>
            <w:hideMark/>
          </w:tcPr>
          <w:p w14:paraId="56E4D094" w14:textId="77777777" w:rsidR="0084323B" w:rsidRDefault="0084323B" w:rsidP="0084323B">
            <w:pPr>
              <w:spacing w:line="276" w:lineRule="auto"/>
              <w:jc w:val="both"/>
              <w:rPr>
                <w:lang w:val="nl-BE"/>
              </w:rPr>
            </w:pPr>
            <w:r>
              <w:rPr>
                <w:lang w:val="nl-BE"/>
              </w:rPr>
              <w:t xml:space="preserve">§2. De ziekenhuisartsen die voornoemde verstrekkingen verlenen mogen, onverminderd de bijzondere omstandigheden vermeld in het tweede lid, geen supplementen aanrekenen aan de in §1 bedoelde patiënten. Onder supplementen worden voor de toepassing van dit artikel verstaan tarieven die afwijken van de verbintenistarieven indien een in artikel 50 van de wet betreffende de verplichte verzekering voor geneeskundige verzorging en uitkeringen, gecoördineerd op 14 juli 1994, bedoeld akkoord van kracht is of tarieven die afwijken van de tarieven die als grondslag dienen voor de berekening van de verzekeringstegemoetkoming indien er geen bedoeld akkoord van kracht is. </w:t>
            </w:r>
          </w:p>
          <w:p w14:paraId="1C718C6D" w14:textId="4EC42C50" w:rsidR="0084323B" w:rsidRDefault="0084323B" w:rsidP="0084323B">
            <w:pPr>
              <w:spacing w:line="276" w:lineRule="auto"/>
              <w:jc w:val="both"/>
              <w:rPr>
                <w:lang w:val="nl-BE"/>
              </w:rPr>
            </w:pPr>
            <w:r>
              <w:rPr>
                <w:lang w:val="nl-BE"/>
              </w:rPr>
              <w:t xml:space="preserve">In afwijking op het eerste lid mogen ziekenhuisartsen supplementen aanrekenen indien de verstrekkingen worden verleend op uitdrukkelijk verzoek van de patiënt tussen 18 en 8 u of op zaterdag, zondag en feestdagen. </w:t>
            </w:r>
          </w:p>
          <w:p w14:paraId="63B285EF" w14:textId="10960E6B" w:rsidR="0084323B" w:rsidRDefault="0084323B" w:rsidP="0084323B">
            <w:pPr>
              <w:spacing w:line="276" w:lineRule="auto"/>
              <w:jc w:val="both"/>
              <w:rPr>
                <w:lang w:val="nl-BE"/>
              </w:rPr>
            </w:pPr>
            <w:r>
              <w:rPr>
                <w:lang w:val="nl-BE"/>
              </w:rPr>
              <w:t xml:space="preserve">De ziekenhuisarts licht de patiënt voorafgaandelijk in over de financiële gevolgen. De toestemming van de patiënt die het uitdrukkelijk verzoek bedoeld in het vorige lid formuleert wordt voorafgaand aan de </w:t>
            </w:r>
            <w:r>
              <w:rPr>
                <w:lang w:val="nl-BE"/>
              </w:rPr>
              <w:lastRenderedPageBreak/>
              <w:t>verstrekking  schriftelijk vastgelegd in een ondertekend document, waarvan de patiënt en het ziekenhuis een exemplaar ontvangen.</w:t>
            </w:r>
          </w:p>
          <w:p w14:paraId="65C4A9E9" w14:textId="06ED967A" w:rsidR="0084323B" w:rsidRDefault="0084323B" w:rsidP="0084323B">
            <w:pPr>
              <w:spacing w:line="276" w:lineRule="auto"/>
              <w:jc w:val="both"/>
              <w:rPr>
                <w:lang w:val="nl-BE"/>
              </w:rPr>
            </w:pPr>
            <w:r>
              <w:rPr>
                <w:lang w:val="nl-BE"/>
              </w:rPr>
              <w:t>In geen enkel geval kunnen supplementen worden aangerekend indien de arts die de verstrekking voorschrijft uitdrukkelijk vermeldt dat er sprake is van een dringende medische noodzaak.</w:t>
            </w:r>
          </w:p>
        </w:tc>
        <w:tc>
          <w:tcPr>
            <w:tcW w:w="4675" w:type="dxa"/>
            <w:tcMar>
              <w:top w:w="0" w:type="dxa"/>
              <w:left w:w="108" w:type="dxa"/>
              <w:bottom w:w="0" w:type="dxa"/>
              <w:right w:w="108" w:type="dxa"/>
            </w:tcMar>
          </w:tcPr>
          <w:p w14:paraId="17E55CEB" w14:textId="77777777" w:rsidR="0084323B" w:rsidRDefault="0084323B" w:rsidP="0084323B">
            <w:pPr>
              <w:spacing w:line="276" w:lineRule="auto"/>
              <w:jc w:val="both"/>
              <w:rPr>
                <w:lang w:val="fr-BE"/>
              </w:rPr>
            </w:pPr>
            <w:r>
              <w:rPr>
                <w:lang w:val="fr-BE"/>
              </w:rPr>
              <w:lastRenderedPageBreak/>
              <w:t>§ 2. Les médecins hospitaliers qui fournissent les prestations précitées ne peuvent facturer aucun supplément aux patients visés au §1</w:t>
            </w:r>
            <w:r>
              <w:rPr>
                <w:vertAlign w:val="superscript"/>
                <w:lang w:val="fr-BE"/>
              </w:rPr>
              <w:t>er</w:t>
            </w:r>
            <w:r>
              <w:rPr>
                <w:lang w:val="fr-BE"/>
              </w:rPr>
              <w:t>, sans préjudice des circonstances spéciales visées au deuxième alinéa. Pour l'application du présent article, par suppléments, il faut entendre des tarifs qui s'écartent des tarifs de l'accord au cas où un accord visé à l'article 50 de la loi relative à l'assurance obligatoire soins de santé et indemnités, coordonnée le 14 juillet 1994, est en vigueur, ou des tarifs qui s'écartent des tarifs qui servent de base au calcul de l'intervention de l’assurance si un tel accord n'est pas en vigueur.</w:t>
            </w:r>
          </w:p>
          <w:p w14:paraId="53F3B8C5" w14:textId="77777777" w:rsidR="0084323B" w:rsidRDefault="0084323B" w:rsidP="0084323B">
            <w:pPr>
              <w:spacing w:line="276" w:lineRule="auto"/>
              <w:jc w:val="both"/>
              <w:rPr>
                <w:lang w:val="fr-BE"/>
              </w:rPr>
            </w:pPr>
          </w:p>
          <w:p w14:paraId="0670524E" w14:textId="48044BDC" w:rsidR="0084323B" w:rsidRDefault="0084323B" w:rsidP="0084323B">
            <w:pPr>
              <w:spacing w:line="276" w:lineRule="auto"/>
              <w:jc w:val="both"/>
              <w:rPr>
                <w:lang w:val="fr-BE"/>
              </w:rPr>
            </w:pPr>
            <w:r>
              <w:rPr>
                <w:lang w:val="fr-BE"/>
              </w:rPr>
              <w:t xml:space="preserve">Par dérogation à l'alinéa premier, les médecins hospitaliers peuvent facturer des suppléments si les prestations sont fournies à la demande expresse du patient entre 18 heures et 8 heures ou le samedi, le dimanche et les jours fériés. </w:t>
            </w:r>
          </w:p>
          <w:p w14:paraId="36C105E8" w14:textId="2EC2E8F9" w:rsidR="0084323B" w:rsidRDefault="0084323B" w:rsidP="0084323B">
            <w:pPr>
              <w:spacing w:line="276" w:lineRule="auto"/>
              <w:jc w:val="both"/>
              <w:rPr>
                <w:lang w:val="fr-BE"/>
              </w:rPr>
            </w:pPr>
            <w:r>
              <w:rPr>
                <w:lang w:val="fr-BE"/>
              </w:rPr>
              <w:t xml:space="preserve">Le médecin hospitalier informe préalablement le patient au sujet des conséquences financières. L’autorisation du patient qui formule la demande expresse visée à l’alinéa précédent est établie par écrit, préalablement à la prestation, dans un </w:t>
            </w:r>
            <w:r>
              <w:rPr>
                <w:lang w:val="fr-BE"/>
              </w:rPr>
              <w:lastRenderedPageBreak/>
              <w:t>document signé dont le patient et l’hôpital reçoivent un exemplaire.</w:t>
            </w:r>
          </w:p>
          <w:p w14:paraId="04A4CC56" w14:textId="67B3D99D" w:rsidR="0084323B" w:rsidRDefault="0084323B" w:rsidP="0084323B">
            <w:pPr>
              <w:spacing w:line="276" w:lineRule="auto"/>
              <w:jc w:val="both"/>
              <w:rPr>
                <w:lang w:val="fr-BE"/>
              </w:rPr>
            </w:pPr>
            <w:r>
              <w:rPr>
                <w:lang w:val="fr-BE"/>
              </w:rPr>
              <w:t xml:space="preserve">  </w:t>
            </w:r>
          </w:p>
          <w:p w14:paraId="260C57AB" w14:textId="52C903D4" w:rsidR="0084323B" w:rsidRDefault="0084323B" w:rsidP="0084323B">
            <w:pPr>
              <w:spacing w:line="276" w:lineRule="auto"/>
              <w:jc w:val="both"/>
              <w:rPr>
                <w:lang w:val="fr-BE"/>
              </w:rPr>
            </w:pPr>
            <w:r>
              <w:rPr>
                <w:lang w:val="fr-BE"/>
              </w:rPr>
              <w:t xml:space="preserve">En aucun cas, des suppléments ne peuvent être facturés si le médecin qui prescrit la prestation mentionne explicitement qu’il s'agit d'une nécessité médicale urgente. </w:t>
            </w:r>
          </w:p>
          <w:p w14:paraId="428C126A" w14:textId="77777777" w:rsidR="0084323B" w:rsidRDefault="0084323B" w:rsidP="0084323B">
            <w:pPr>
              <w:spacing w:line="276" w:lineRule="auto"/>
              <w:jc w:val="both"/>
              <w:rPr>
                <w:rFonts w:ascii="Arial" w:hAnsi="Arial" w:cs="Arial"/>
                <w:b/>
                <w:bCs/>
                <w:caps/>
                <w:color w:val="00B0F0"/>
                <w:lang w:val="fr-BE"/>
              </w:rPr>
            </w:pPr>
          </w:p>
        </w:tc>
      </w:tr>
      <w:tr w:rsidR="0084323B" w:rsidRPr="0084323B" w14:paraId="700F2200" w14:textId="77777777" w:rsidTr="0084323B">
        <w:trPr>
          <w:trHeight w:val="68"/>
        </w:trPr>
        <w:tc>
          <w:tcPr>
            <w:tcW w:w="4675" w:type="dxa"/>
            <w:tcMar>
              <w:top w:w="0" w:type="dxa"/>
              <w:left w:w="108" w:type="dxa"/>
              <w:bottom w:w="0" w:type="dxa"/>
              <w:right w:w="108" w:type="dxa"/>
            </w:tcMar>
            <w:hideMark/>
          </w:tcPr>
          <w:p w14:paraId="4D7A8FBD" w14:textId="77777777" w:rsidR="0084323B" w:rsidRDefault="0084323B">
            <w:pPr>
              <w:jc w:val="both"/>
              <w:rPr>
                <w:rFonts w:ascii="Calibri" w:hAnsi="Calibri" w:cs="Calibri"/>
                <w:lang w:val="nl-BE"/>
              </w:rPr>
            </w:pPr>
            <w:r>
              <w:rPr>
                <w:lang w:val="nl-BE"/>
              </w:rPr>
              <w:lastRenderedPageBreak/>
              <w:t>§ 3. De beheerder en de medische raad  nemen alle noodzakelijke maatregelen om te waarborgen dat de in § 1 bedoelde verstrekkingen aan de betrokken patiënten worden aangeboden zonder aanrekening van supplementen binnen de wetenschappelijk gangbare tijdsperiode in functie van de  betrokken pathologie, onverminderd de in § 2, tweede lid bedoelde bijzondere omstandigheden.</w:t>
            </w:r>
          </w:p>
        </w:tc>
        <w:tc>
          <w:tcPr>
            <w:tcW w:w="4675" w:type="dxa"/>
            <w:tcMar>
              <w:top w:w="0" w:type="dxa"/>
              <w:left w:w="108" w:type="dxa"/>
              <w:bottom w:w="0" w:type="dxa"/>
              <w:right w:w="108" w:type="dxa"/>
            </w:tcMar>
          </w:tcPr>
          <w:p w14:paraId="71E92D82" w14:textId="77777777" w:rsidR="0084323B" w:rsidRDefault="0084323B">
            <w:pPr>
              <w:jc w:val="both"/>
              <w:rPr>
                <w:lang w:val="fr-BE"/>
              </w:rPr>
            </w:pPr>
            <w:r>
              <w:rPr>
                <w:lang w:val="fr-BE"/>
              </w:rPr>
              <w:t xml:space="preserve">§ 3. Le gestionnaire et le conseil médical prennent toutes les mesures nécessaires pour garantir que les prestations visées au §1er sont proposées aux patients concernés sans facturation de suppléments, dans les délais scientifiquement usuels en fonction de la pathologie concernée, sans préjudice des circonstances spéciales visées au §2, deuxième alinéa. </w:t>
            </w:r>
          </w:p>
          <w:p w14:paraId="1983CAFE" w14:textId="77777777" w:rsidR="0084323B" w:rsidRDefault="0084323B">
            <w:pPr>
              <w:jc w:val="both"/>
              <w:rPr>
                <w:rFonts w:ascii="Arial" w:hAnsi="Arial" w:cs="Arial"/>
                <w:b/>
                <w:bCs/>
                <w:caps/>
                <w:color w:val="00B0F0"/>
                <w:lang w:val="fr-BE"/>
              </w:rPr>
            </w:pPr>
          </w:p>
        </w:tc>
      </w:tr>
    </w:tbl>
    <w:p w14:paraId="5FD71483" w14:textId="77777777" w:rsidR="0084323B" w:rsidRPr="0084323B" w:rsidRDefault="0084323B">
      <w:pPr>
        <w:rPr>
          <w:lang w:val="fr-BE"/>
        </w:rPr>
      </w:pPr>
    </w:p>
    <w:p w14:paraId="4A0F69D1" w14:textId="26984DC7" w:rsidR="0084323B" w:rsidRPr="0084323B" w:rsidRDefault="0084323B">
      <w:pPr>
        <w:rPr>
          <w:b/>
          <w:bCs/>
          <w:u w:val="single"/>
          <w:lang w:val="fr-BE"/>
        </w:rPr>
      </w:pPr>
      <w:r w:rsidRPr="0084323B">
        <w:rPr>
          <w:b/>
          <w:bCs/>
          <w:u w:val="single"/>
          <w:lang w:val="fr-BE"/>
        </w:rPr>
        <w:t xml:space="preserve">Memorie </w:t>
      </w:r>
    </w:p>
    <w:tbl>
      <w:tblPr>
        <w:tblStyle w:val="Tabelraster"/>
        <w:tblW w:w="0" w:type="auto"/>
        <w:tblLook w:val="04A0" w:firstRow="1" w:lastRow="0" w:firstColumn="1" w:lastColumn="0" w:noHBand="0" w:noVBand="1"/>
      </w:tblPr>
      <w:tblGrid>
        <w:gridCol w:w="4635"/>
        <w:gridCol w:w="4607"/>
        <w:tblGridChange w:id="1">
          <w:tblGrid>
            <w:gridCol w:w="4635"/>
            <w:gridCol w:w="4607"/>
          </w:tblGrid>
        </w:tblGridChange>
      </w:tblGrid>
      <w:tr w:rsidR="0084323B" w:rsidRPr="00D02121" w14:paraId="0787570A" w14:textId="77777777" w:rsidTr="0084323B">
        <w:trPr>
          <w:trHeight w:val="887"/>
        </w:trPr>
        <w:tc>
          <w:tcPr>
            <w:tcW w:w="4635" w:type="dxa"/>
          </w:tcPr>
          <w:p w14:paraId="4041115A" w14:textId="77777777" w:rsidR="0084323B" w:rsidRPr="00646DCC" w:rsidRDefault="0084323B" w:rsidP="0035539A">
            <w:pPr>
              <w:rPr>
                <w:rFonts w:ascii="Arial" w:hAnsi="Arial" w:cs="Arial"/>
                <w:b/>
                <w:bCs/>
                <w:caps/>
                <w:lang w:val="nl-BE"/>
              </w:rPr>
            </w:pPr>
            <w:r w:rsidRPr="00144DF0">
              <w:rPr>
                <w:rFonts w:ascii="Arial" w:hAnsi="Arial" w:cs="Arial"/>
                <w:b/>
                <w:bCs/>
                <w:caps/>
                <w:lang w:val="nl-BE"/>
              </w:rPr>
              <w:t xml:space="preserve">HOOFDSTUK </w:t>
            </w:r>
            <w:r>
              <w:rPr>
                <w:rFonts w:ascii="Arial" w:hAnsi="Arial" w:cs="Arial"/>
                <w:b/>
                <w:bCs/>
                <w:caps/>
                <w:lang w:val="nl-BE"/>
              </w:rPr>
              <w:t>3</w:t>
            </w:r>
            <w:r w:rsidRPr="00144DF0">
              <w:rPr>
                <w:rFonts w:ascii="Arial" w:hAnsi="Arial" w:cs="Arial"/>
                <w:b/>
                <w:bCs/>
                <w:caps/>
                <w:lang w:val="nl-BE"/>
              </w:rPr>
              <w:t xml:space="preserve">   -  WIJZIGING van de</w:t>
            </w:r>
            <w:r w:rsidRPr="00496124">
              <w:rPr>
                <w:rFonts w:ascii="Arial" w:hAnsi="Arial" w:cs="Arial"/>
                <w:b/>
                <w:bCs/>
                <w:caps/>
                <w:lang w:val="nl-BE"/>
              </w:rPr>
              <w:t xml:space="preserve"> Gecoördineerde</w:t>
            </w:r>
            <w:r w:rsidRPr="00144DF0">
              <w:rPr>
                <w:rFonts w:ascii="Arial" w:hAnsi="Arial" w:cs="Arial"/>
                <w:b/>
                <w:bCs/>
                <w:caps/>
                <w:lang w:val="nl-BE"/>
              </w:rPr>
              <w:t xml:space="preserve"> wet van </w:t>
            </w:r>
            <w:r>
              <w:rPr>
                <w:rFonts w:ascii="Arial" w:hAnsi="Arial" w:cs="Arial"/>
                <w:b/>
                <w:bCs/>
                <w:caps/>
                <w:lang w:val="nl-BE"/>
              </w:rPr>
              <w:t>10 juli 2008</w:t>
            </w:r>
            <w:r w:rsidRPr="00496124">
              <w:rPr>
                <w:rFonts w:ascii="Arial" w:hAnsi="Arial" w:cs="Arial"/>
                <w:b/>
                <w:bCs/>
                <w:caps/>
                <w:lang w:val="nl-BE"/>
              </w:rPr>
              <w:t xml:space="preserve"> op de ziekenhuizen en andere verzorgingsinrichtingen</w:t>
            </w:r>
          </w:p>
        </w:tc>
        <w:tc>
          <w:tcPr>
            <w:tcW w:w="4607" w:type="dxa"/>
          </w:tcPr>
          <w:p w14:paraId="1B437FB7" w14:textId="77777777" w:rsidR="0084323B" w:rsidRPr="00D02121" w:rsidRDefault="0084323B" w:rsidP="0035539A">
            <w:pPr>
              <w:rPr>
                <w:rFonts w:ascii="Arial" w:hAnsi="Arial" w:cs="Arial"/>
                <w:b/>
                <w:bCs/>
                <w:caps/>
                <w:lang w:val="fr-BE"/>
              </w:rPr>
            </w:pPr>
            <w:r w:rsidRPr="00D02121">
              <w:rPr>
                <w:rFonts w:ascii="Arial" w:hAnsi="Arial" w:cs="Arial"/>
                <w:b/>
                <w:bCs/>
                <w:caps/>
                <w:lang w:val="fr-BE"/>
              </w:rPr>
              <w:t>Chapitre 3   -  Modification de la loi coordonnée du 10 juillet 2008 sur les hôpitaux et autres établissements de soins</w:t>
            </w:r>
          </w:p>
        </w:tc>
      </w:tr>
      <w:tr w:rsidR="0084323B" w:rsidRPr="00C51D20" w14:paraId="340E730D" w14:textId="77777777" w:rsidTr="0084323B">
        <w:trPr>
          <w:trHeight w:val="68"/>
        </w:trPr>
        <w:tc>
          <w:tcPr>
            <w:tcW w:w="4635" w:type="dxa"/>
          </w:tcPr>
          <w:p w14:paraId="1584673E" w14:textId="77777777" w:rsidR="0084323B" w:rsidRPr="006349DE" w:rsidRDefault="0084323B" w:rsidP="0035539A">
            <w:pPr>
              <w:rPr>
                <w:rFonts w:ascii="Arial" w:hAnsi="Arial" w:cs="Arial"/>
                <w:b/>
                <w:bCs/>
                <w:caps/>
                <w:lang w:val="fr-BE"/>
              </w:rPr>
            </w:pPr>
            <w:r w:rsidRPr="00990BC9">
              <w:rPr>
                <w:rFonts w:ascii="Arial" w:hAnsi="Arial" w:cs="Arial"/>
                <w:b/>
                <w:bCs/>
                <w:i/>
                <w:iCs/>
                <w:lang w:val="nl-BE"/>
              </w:rPr>
              <w:t xml:space="preserve">Afdeling </w:t>
            </w:r>
            <w:r>
              <w:rPr>
                <w:rFonts w:ascii="Arial" w:hAnsi="Arial" w:cs="Arial"/>
                <w:b/>
                <w:bCs/>
                <w:i/>
                <w:iCs/>
                <w:lang w:val="nl-BE"/>
              </w:rPr>
              <w:t>3</w:t>
            </w:r>
            <w:r w:rsidRPr="00990BC9">
              <w:rPr>
                <w:rFonts w:ascii="Arial" w:hAnsi="Arial" w:cs="Arial"/>
                <w:b/>
                <w:bCs/>
                <w:i/>
                <w:iCs/>
                <w:lang w:val="nl-BE"/>
              </w:rPr>
              <w:t xml:space="preserve"> –  </w:t>
            </w:r>
            <w:r>
              <w:rPr>
                <w:rFonts w:ascii="Arial" w:hAnsi="Arial" w:cs="Arial"/>
                <w:b/>
                <w:bCs/>
                <w:i/>
                <w:iCs/>
                <w:lang w:val="nl-BE"/>
              </w:rPr>
              <w:t>Supplementen medische beeldvorming</w:t>
            </w:r>
          </w:p>
        </w:tc>
        <w:tc>
          <w:tcPr>
            <w:tcW w:w="4607" w:type="dxa"/>
          </w:tcPr>
          <w:p w14:paraId="13796B1A" w14:textId="77777777" w:rsidR="0084323B" w:rsidRPr="00C51D20" w:rsidRDefault="0084323B" w:rsidP="0035539A">
            <w:pPr>
              <w:rPr>
                <w:rFonts w:ascii="Arial" w:hAnsi="Arial" w:cs="Arial"/>
                <w:b/>
                <w:bCs/>
                <w:i/>
                <w:iCs/>
                <w:lang w:val="fr-BE"/>
              </w:rPr>
            </w:pPr>
            <w:r w:rsidRPr="00C51D20">
              <w:rPr>
                <w:rFonts w:ascii="Arial" w:hAnsi="Arial" w:cs="Arial"/>
                <w:b/>
                <w:bCs/>
                <w:i/>
                <w:iCs/>
                <w:lang w:val="fr-BE"/>
              </w:rPr>
              <w:t xml:space="preserve">Section 3 </w:t>
            </w:r>
            <w:r w:rsidRPr="006349DE">
              <w:rPr>
                <w:rFonts w:ascii="Arial" w:hAnsi="Arial" w:cs="Arial"/>
                <w:b/>
                <w:bCs/>
                <w:i/>
                <w:iCs/>
                <w:lang w:val="fr-BE"/>
              </w:rPr>
              <w:t>–</w:t>
            </w:r>
            <w:r>
              <w:rPr>
                <w:rFonts w:ascii="Arial" w:hAnsi="Arial" w:cs="Arial"/>
                <w:b/>
                <w:bCs/>
                <w:i/>
                <w:iCs/>
                <w:lang w:val="fr-BE"/>
              </w:rPr>
              <w:t xml:space="preserve">  Suppléments en imagerie médicale</w:t>
            </w:r>
          </w:p>
        </w:tc>
      </w:tr>
      <w:tr w:rsidR="0084323B" w:rsidRPr="00875021" w14:paraId="021E5AEB" w14:textId="77777777" w:rsidTr="0084323B">
        <w:tc>
          <w:tcPr>
            <w:tcW w:w="4635" w:type="dxa"/>
          </w:tcPr>
          <w:p w14:paraId="4C733FF7" w14:textId="77777777" w:rsidR="0084323B" w:rsidRPr="00875021" w:rsidRDefault="0084323B" w:rsidP="0035539A">
            <w:pPr>
              <w:jc w:val="center"/>
              <w:rPr>
                <w:b/>
                <w:bCs/>
              </w:rPr>
            </w:pPr>
            <w:r w:rsidRPr="00875021">
              <w:rPr>
                <w:b/>
                <w:bCs/>
              </w:rPr>
              <w:t xml:space="preserve">Art. </w:t>
            </w:r>
            <w:r>
              <w:rPr>
                <w:b/>
                <w:bCs/>
              </w:rPr>
              <w:t>11</w:t>
            </w:r>
            <w:r w:rsidRPr="00875021">
              <w:rPr>
                <w:b/>
                <w:bCs/>
              </w:rPr>
              <w:t>.</w:t>
            </w:r>
          </w:p>
        </w:tc>
        <w:tc>
          <w:tcPr>
            <w:tcW w:w="4607" w:type="dxa"/>
          </w:tcPr>
          <w:p w14:paraId="7C69CE5A" w14:textId="77777777" w:rsidR="0084323B" w:rsidRPr="00875021" w:rsidRDefault="0084323B" w:rsidP="0035539A">
            <w:pPr>
              <w:jc w:val="center"/>
              <w:rPr>
                <w:lang w:val="fr-BE"/>
              </w:rPr>
            </w:pPr>
            <w:r w:rsidRPr="00875021">
              <w:rPr>
                <w:b/>
                <w:bCs/>
              </w:rPr>
              <w:t xml:space="preserve">Art. </w:t>
            </w:r>
            <w:r>
              <w:rPr>
                <w:b/>
                <w:bCs/>
              </w:rPr>
              <w:t>11</w:t>
            </w:r>
            <w:r w:rsidRPr="00875021">
              <w:rPr>
                <w:b/>
                <w:bCs/>
              </w:rPr>
              <w:t>.</w:t>
            </w:r>
          </w:p>
        </w:tc>
      </w:tr>
      <w:tr w:rsidR="0084323B" w:rsidRPr="008129A3" w14:paraId="3571ED87" w14:textId="77777777" w:rsidTr="0084323B">
        <w:tc>
          <w:tcPr>
            <w:tcW w:w="4635" w:type="dxa"/>
          </w:tcPr>
          <w:p w14:paraId="739B01A2" w14:textId="77777777" w:rsidR="0084323B" w:rsidRPr="004243EE" w:rsidRDefault="0084323B" w:rsidP="0035539A">
            <w:pPr>
              <w:jc w:val="both"/>
              <w:rPr>
                <w:lang w:val="nl-BE"/>
              </w:rPr>
            </w:pPr>
            <w:r w:rsidRPr="00B6746F">
              <w:rPr>
                <w:bCs/>
                <w:lang w:val="nl-BE"/>
              </w:rPr>
              <w:t xml:space="preserve">Dit wetsontwerp </w:t>
            </w:r>
            <w:r w:rsidRPr="004243EE">
              <w:rPr>
                <w:lang w:val="nl-BE"/>
              </w:rPr>
              <w:t>heeft tot doel om de toegankelijkheid van de zorg tot essentiële medisch diagnostische verstrekkingen te vrijwaren.</w:t>
            </w:r>
          </w:p>
          <w:p w14:paraId="1C9A9991" w14:textId="77777777" w:rsidR="0084323B" w:rsidRPr="00B6746F" w:rsidRDefault="0084323B" w:rsidP="0035539A">
            <w:pPr>
              <w:jc w:val="both"/>
              <w:rPr>
                <w:lang w:val="nl-BE"/>
              </w:rPr>
            </w:pPr>
          </w:p>
        </w:tc>
        <w:tc>
          <w:tcPr>
            <w:tcW w:w="4607" w:type="dxa"/>
          </w:tcPr>
          <w:p w14:paraId="720210F0" w14:textId="77777777" w:rsidR="0084323B" w:rsidRPr="008129A3" w:rsidRDefault="0084323B" w:rsidP="0035539A">
            <w:pPr>
              <w:jc w:val="both"/>
              <w:rPr>
                <w:lang w:val="fr-BE"/>
              </w:rPr>
            </w:pPr>
            <w:r>
              <w:rPr>
                <w:lang w:val="fr-BE"/>
              </w:rPr>
              <w:t>Ce projet de loi</w:t>
            </w:r>
            <w:r w:rsidRPr="008129A3">
              <w:rPr>
                <w:lang w:val="fr-BE"/>
              </w:rPr>
              <w:t xml:space="preserve"> a pour objectif de garantir l'accessibilité des soins aux prestations diagnostiques médicales essentielles. </w:t>
            </w:r>
          </w:p>
          <w:p w14:paraId="5450A90B" w14:textId="77777777" w:rsidR="0084323B" w:rsidRPr="008129A3" w:rsidRDefault="0084323B" w:rsidP="0035539A">
            <w:pPr>
              <w:jc w:val="both"/>
              <w:rPr>
                <w:lang w:val="fr-BE"/>
              </w:rPr>
            </w:pPr>
          </w:p>
        </w:tc>
      </w:tr>
      <w:tr w:rsidR="0084323B" w:rsidRPr="00287971" w14:paraId="2C06B216" w14:textId="77777777" w:rsidTr="0084323B">
        <w:tc>
          <w:tcPr>
            <w:tcW w:w="4635" w:type="dxa"/>
          </w:tcPr>
          <w:p w14:paraId="6EB22869" w14:textId="77777777" w:rsidR="0084323B" w:rsidRPr="004243EE" w:rsidRDefault="0084323B" w:rsidP="0035539A">
            <w:pPr>
              <w:jc w:val="both"/>
              <w:rPr>
                <w:lang w:val="nl-BE"/>
              </w:rPr>
            </w:pPr>
            <w:r w:rsidRPr="004243EE">
              <w:rPr>
                <w:lang w:val="nl-BE"/>
              </w:rPr>
              <w:t xml:space="preserve">Hierbij wordt gevolg gegeven aan een voorstel vervat in het nationaal akkoord artsen ziekenfondsen 2022-2023 dat op 21 december 2021 werd afgesloten. Punt 3.5.5. van voornoemd akkoord luidt als volgt: “De NCAZ heeft vastgesteld dat in sommige ziekenhuizen bepaalde radiologische onderzoeken niet meer tegen conventietarieven worden aangeboden. De NCAZ is van oordeel dat het principe waarbij zorg voor opgenomen patiënten verplichtend moet kunnen worden aangeboden tegen conventietarieven in de ziekenhuizen, ook moet gelden voor de ambulante onderzoeken die </w:t>
            </w:r>
            <w:r w:rsidRPr="004243EE">
              <w:rPr>
                <w:lang w:val="nl-BE"/>
              </w:rPr>
              <w:lastRenderedPageBreak/>
              <w:t>enkel in het ziekenhuis kunnen worden verricht.”</w:t>
            </w:r>
          </w:p>
          <w:p w14:paraId="43C53237" w14:textId="77777777" w:rsidR="0084323B" w:rsidRPr="004243EE" w:rsidRDefault="0084323B" w:rsidP="0035539A">
            <w:pPr>
              <w:jc w:val="both"/>
              <w:rPr>
                <w:lang w:val="nl-BE"/>
              </w:rPr>
            </w:pPr>
          </w:p>
        </w:tc>
        <w:tc>
          <w:tcPr>
            <w:tcW w:w="4607" w:type="dxa"/>
          </w:tcPr>
          <w:p w14:paraId="7F243B5F" w14:textId="77777777" w:rsidR="0084323B" w:rsidRPr="00287971" w:rsidRDefault="0084323B" w:rsidP="0035539A">
            <w:pPr>
              <w:jc w:val="both"/>
              <w:rPr>
                <w:lang w:val="fr-BE"/>
              </w:rPr>
            </w:pPr>
            <w:r>
              <w:rPr>
                <w:lang w:val="fr-BE"/>
              </w:rPr>
              <w:lastRenderedPageBreak/>
              <w:t xml:space="preserve">Il est ainsi donné suite à une proposition qui figure dans l'accord national médico-mutualiste 2022-2023 qui a été conclu le 21 décembre 2021. Le point 3.5.5. de l'accord précité est libellé comme suit : « La CNMM a constaté que dans certains hôpitaux, certains examens radiologiques ne sont plus proposés aux tarifs de la convention. La CNMM est d'avis que le principe selon lequel les soins aux patients hospitalisés doivent obligatoirement pouvoir être offerts aux tarifs de la convention dans les hôpitaux, doit également s'appliquer aux examens ambulatoires qui peuvent uniquement </w:t>
            </w:r>
            <w:r>
              <w:rPr>
                <w:lang w:val="fr-BE"/>
              </w:rPr>
              <w:lastRenderedPageBreak/>
              <w:t>être effectués à l'hôpital. »</w:t>
            </w:r>
          </w:p>
        </w:tc>
      </w:tr>
      <w:tr w:rsidR="0084323B" w:rsidRPr="00287971" w14:paraId="3CF98878" w14:textId="77777777" w:rsidTr="0084323B">
        <w:tc>
          <w:tcPr>
            <w:tcW w:w="4635" w:type="dxa"/>
          </w:tcPr>
          <w:p w14:paraId="17EAB22A" w14:textId="77777777" w:rsidR="0084323B" w:rsidRPr="004243EE" w:rsidRDefault="0084323B" w:rsidP="0035539A">
            <w:pPr>
              <w:jc w:val="both"/>
              <w:rPr>
                <w:lang w:val="nl-BE"/>
              </w:rPr>
            </w:pPr>
            <w:r w:rsidRPr="004243EE">
              <w:rPr>
                <w:lang w:val="nl-BE"/>
              </w:rPr>
              <w:lastRenderedPageBreak/>
              <w:t xml:space="preserve">Concreet betreft het onderzoeken verricht met zware medische apparatuur. Hiermee worden toestellen of uitrustingen voor onderzoek bedoeld die duur zijn hetzij door hun aankoopprijs hetzij door de bediening ervan door hoog gespecialiseerd personeel en opgenomen zijn op een lijst vastgesteld bij het koninklijk besluit van 25 april 2014, artikel 1, eerste lid,  1° t.e.m. 6°, in toepassing van artikel 52 van de ziekenhuiswet. Het betreft volgende al dan niet hybride toestellen: CT, SPECT-CT, PET, PET-CT, PET-NMR, NMR. </w:t>
            </w:r>
          </w:p>
          <w:p w14:paraId="21C1A344" w14:textId="77777777" w:rsidR="0084323B" w:rsidRPr="004243EE" w:rsidRDefault="0084323B" w:rsidP="0035539A">
            <w:pPr>
              <w:jc w:val="both"/>
              <w:rPr>
                <w:lang w:val="nl-BE"/>
              </w:rPr>
            </w:pPr>
          </w:p>
        </w:tc>
        <w:tc>
          <w:tcPr>
            <w:tcW w:w="4607" w:type="dxa"/>
          </w:tcPr>
          <w:p w14:paraId="1CA12F69" w14:textId="77777777" w:rsidR="0084323B" w:rsidRDefault="0084323B" w:rsidP="0035539A">
            <w:pPr>
              <w:jc w:val="both"/>
              <w:rPr>
                <w:lang w:val="fr-BE"/>
              </w:rPr>
            </w:pPr>
            <w:r>
              <w:rPr>
                <w:lang w:val="fr-BE"/>
              </w:rPr>
              <w:t>Concrètement, il s'agit d'examens réalisés avec un appareillage médical lourd. Il faut entendre par-là les appareils ou équipements d'examen qui sont coûteux soit en raison de leur prix d'achat, soit en raison de leur maniement par un personnel hautement spécialisé et qui sont repris dans une liste établie par l'arrêté royal du 25 avril 2014, article 1, 1</w:t>
            </w:r>
            <w:r w:rsidRPr="00287971">
              <w:rPr>
                <w:vertAlign w:val="superscript"/>
                <w:lang w:val="fr-BE"/>
              </w:rPr>
              <w:t>er</w:t>
            </w:r>
            <w:r>
              <w:rPr>
                <w:lang w:val="fr-BE"/>
              </w:rPr>
              <w:t xml:space="preserve"> alinéa, 1° à 6°, en application de l'article 52 de la loi sur les hôpitaux.</w:t>
            </w:r>
          </w:p>
          <w:p w14:paraId="6EA4A276" w14:textId="77777777" w:rsidR="0084323B" w:rsidRPr="00287971" w:rsidRDefault="0084323B" w:rsidP="0035539A">
            <w:pPr>
              <w:jc w:val="both"/>
              <w:rPr>
                <w:lang w:val="fr-BE"/>
              </w:rPr>
            </w:pPr>
            <w:r w:rsidRPr="00287971">
              <w:rPr>
                <w:lang w:val="fr-BE"/>
              </w:rPr>
              <w:t>Il s’agit des appareils suivants, hybrides ou non : CT, SPECT-CT, PET, PET-CT, PET-RMN, RMN.</w:t>
            </w:r>
          </w:p>
        </w:tc>
      </w:tr>
      <w:tr w:rsidR="0084323B" w:rsidRPr="00287971" w14:paraId="10B3D2CA" w14:textId="77777777" w:rsidTr="0084323B">
        <w:tc>
          <w:tcPr>
            <w:tcW w:w="4635" w:type="dxa"/>
          </w:tcPr>
          <w:p w14:paraId="4BF54A52" w14:textId="77777777" w:rsidR="0084323B" w:rsidRPr="004243EE" w:rsidRDefault="0084323B" w:rsidP="0035539A">
            <w:pPr>
              <w:jc w:val="both"/>
              <w:rPr>
                <w:lang w:val="nl-BE"/>
              </w:rPr>
            </w:pPr>
            <w:r w:rsidRPr="004243EE">
              <w:rPr>
                <w:lang w:val="nl-BE"/>
              </w:rPr>
              <w:t>De betreffende apparatuur moet op basis van de toepasselijke regelgeving in het kader van een medisch-technische dienst van een ziekenhuis worden opgesteld.</w:t>
            </w:r>
          </w:p>
          <w:p w14:paraId="1C3106C1" w14:textId="77777777" w:rsidR="0084323B" w:rsidRPr="004243EE" w:rsidRDefault="0084323B" w:rsidP="0035539A">
            <w:pPr>
              <w:jc w:val="both"/>
              <w:rPr>
                <w:lang w:val="nl-BE"/>
              </w:rPr>
            </w:pPr>
          </w:p>
        </w:tc>
        <w:tc>
          <w:tcPr>
            <w:tcW w:w="4607" w:type="dxa"/>
          </w:tcPr>
          <w:p w14:paraId="1FDCE139" w14:textId="77777777" w:rsidR="0084323B" w:rsidRDefault="0084323B" w:rsidP="0035539A">
            <w:pPr>
              <w:jc w:val="both"/>
              <w:rPr>
                <w:lang w:val="fr-BE"/>
              </w:rPr>
            </w:pPr>
            <w:r>
              <w:rPr>
                <w:lang w:val="fr-BE"/>
              </w:rPr>
              <w:t>Les appareils en question doivent être installés sur la base de la réglementation applicable dans le cadre d'un service médico-technique d'hôpital.</w:t>
            </w:r>
          </w:p>
          <w:p w14:paraId="77B909A4" w14:textId="77777777" w:rsidR="0084323B" w:rsidRPr="00287971" w:rsidRDefault="0084323B" w:rsidP="0035539A">
            <w:pPr>
              <w:jc w:val="both"/>
              <w:rPr>
                <w:lang w:val="fr-BE"/>
              </w:rPr>
            </w:pPr>
          </w:p>
        </w:tc>
      </w:tr>
      <w:tr w:rsidR="0084323B" w:rsidRPr="00287971" w14:paraId="6DAA7503" w14:textId="77777777" w:rsidTr="0084323B">
        <w:tc>
          <w:tcPr>
            <w:tcW w:w="4635" w:type="dxa"/>
          </w:tcPr>
          <w:p w14:paraId="5DAA4CBF" w14:textId="77777777" w:rsidR="0084323B" w:rsidRPr="004243EE" w:rsidRDefault="0084323B" w:rsidP="0035539A">
            <w:pPr>
              <w:jc w:val="both"/>
              <w:rPr>
                <w:lang w:val="nl-BE"/>
              </w:rPr>
            </w:pPr>
            <w:r w:rsidRPr="004243EE">
              <w:rPr>
                <w:lang w:val="nl-BE"/>
              </w:rPr>
              <w:t xml:space="preserve">De patiënten die nood hebben aan de diagnostiek/behandeling  door middel van deze toestellen hebben bijgevolg geen keuzevrijheid om deze buiten het ziekenhuis te laten verrichten. De inrichting van deze diensten en in het bijzonder het hanteren van financiële drempels mogen er dan ook niet toe leiden dat patiënten er geen toegang toe zouden hebben. </w:t>
            </w:r>
          </w:p>
          <w:p w14:paraId="694F3285" w14:textId="77777777" w:rsidR="0084323B" w:rsidRPr="004243EE" w:rsidRDefault="0084323B" w:rsidP="0035539A">
            <w:pPr>
              <w:jc w:val="both"/>
              <w:rPr>
                <w:lang w:val="nl-BE"/>
              </w:rPr>
            </w:pPr>
          </w:p>
        </w:tc>
        <w:tc>
          <w:tcPr>
            <w:tcW w:w="4607" w:type="dxa"/>
          </w:tcPr>
          <w:p w14:paraId="1E52112E" w14:textId="77777777" w:rsidR="0084323B" w:rsidRDefault="0084323B" w:rsidP="0035539A">
            <w:pPr>
              <w:rPr>
                <w:lang w:val="fr-BE"/>
              </w:rPr>
            </w:pPr>
            <w:r>
              <w:rPr>
                <w:lang w:val="fr-BE"/>
              </w:rPr>
              <w:t xml:space="preserve">Par conséquent, les patients qui ont besoin d'un diagnostic/d'un traitement au moyen de ces appareils n'ont pas la liberté de choisir de le faire réaliser en dehors de l’hôpital. L'organisation de ces services et, en particulier, l'utilisation de freins financiers ne peuvent donc pas avoir pour conséquence que les patients n'y aient pas accès. </w:t>
            </w:r>
          </w:p>
          <w:p w14:paraId="4D69C4A9" w14:textId="77777777" w:rsidR="0084323B" w:rsidRPr="00287971" w:rsidRDefault="0084323B" w:rsidP="0035539A">
            <w:pPr>
              <w:jc w:val="both"/>
              <w:rPr>
                <w:lang w:val="fr-BE"/>
              </w:rPr>
            </w:pPr>
          </w:p>
        </w:tc>
      </w:tr>
      <w:tr w:rsidR="0084323B" w:rsidRPr="00287971" w14:paraId="4D77C1E1" w14:textId="77777777" w:rsidTr="0084323B">
        <w:tc>
          <w:tcPr>
            <w:tcW w:w="4635" w:type="dxa"/>
          </w:tcPr>
          <w:p w14:paraId="3F57EA54" w14:textId="77777777" w:rsidR="0084323B" w:rsidRPr="004243EE" w:rsidRDefault="0084323B" w:rsidP="0035539A">
            <w:pPr>
              <w:jc w:val="both"/>
              <w:rPr>
                <w:lang w:val="nl-BE"/>
              </w:rPr>
            </w:pPr>
            <w:r w:rsidRPr="004243EE">
              <w:rPr>
                <w:lang w:val="nl-BE"/>
              </w:rPr>
              <w:t>De betrokken verstrekkingen kunnen enkel worden uitgevoerd op voorschrift van een behandelende arts.</w:t>
            </w:r>
          </w:p>
          <w:p w14:paraId="2AC56445" w14:textId="77777777" w:rsidR="0084323B" w:rsidRPr="004243EE" w:rsidRDefault="0084323B" w:rsidP="0035539A">
            <w:pPr>
              <w:jc w:val="both"/>
              <w:rPr>
                <w:lang w:val="nl-BE"/>
              </w:rPr>
            </w:pPr>
          </w:p>
        </w:tc>
        <w:tc>
          <w:tcPr>
            <w:tcW w:w="4607" w:type="dxa"/>
          </w:tcPr>
          <w:p w14:paraId="71A4770A" w14:textId="77777777" w:rsidR="0084323B" w:rsidRPr="00287971" w:rsidRDefault="0084323B" w:rsidP="0035539A">
            <w:pPr>
              <w:rPr>
                <w:lang w:val="fr-BE"/>
              </w:rPr>
            </w:pPr>
            <w:r>
              <w:rPr>
                <w:lang w:val="fr-BE"/>
              </w:rPr>
              <w:t>Les prestations en question peuvent uniquement être exécutées sur prescription d'un médecin traitant.</w:t>
            </w:r>
          </w:p>
        </w:tc>
      </w:tr>
      <w:tr w:rsidR="0084323B" w:rsidRPr="00287971" w14:paraId="535B564C" w14:textId="77777777" w:rsidTr="0084323B">
        <w:tc>
          <w:tcPr>
            <w:tcW w:w="4635" w:type="dxa"/>
          </w:tcPr>
          <w:p w14:paraId="0655A956" w14:textId="77777777" w:rsidR="0084323B" w:rsidRPr="00287971" w:rsidRDefault="0084323B" w:rsidP="0035539A">
            <w:pPr>
              <w:jc w:val="both"/>
              <w:rPr>
                <w:lang w:val="nl-BE"/>
              </w:rPr>
            </w:pPr>
            <w:r w:rsidRPr="00287971">
              <w:rPr>
                <w:lang w:val="nl-BE"/>
              </w:rPr>
              <w:t>Bovendien betreft het meestal patiënten met een zware pathologie waarvoor de betreffende medische beeldvorming essentieel is met het oog op een bepaalde diagnostiek/behandeling en waarbij andere onderzoeken, zoals een echografie of conventionele RX geen alternatief bieden.</w:t>
            </w:r>
          </w:p>
          <w:p w14:paraId="1F4DFE7E" w14:textId="77777777" w:rsidR="0084323B" w:rsidRPr="004243EE" w:rsidRDefault="0084323B" w:rsidP="0035539A">
            <w:pPr>
              <w:jc w:val="both"/>
              <w:rPr>
                <w:lang w:val="nl-BE"/>
              </w:rPr>
            </w:pPr>
          </w:p>
        </w:tc>
        <w:tc>
          <w:tcPr>
            <w:tcW w:w="4607" w:type="dxa"/>
          </w:tcPr>
          <w:p w14:paraId="0E28EEBC" w14:textId="77777777" w:rsidR="0084323B" w:rsidRPr="00287971" w:rsidRDefault="0084323B" w:rsidP="0035539A">
            <w:pPr>
              <w:jc w:val="both"/>
              <w:rPr>
                <w:lang w:val="fr-BE"/>
              </w:rPr>
            </w:pPr>
            <w:r w:rsidRPr="00287971">
              <w:rPr>
                <w:lang w:val="fr-BE"/>
              </w:rPr>
              <w:t>En outre, il s'agit généralement de patients présentant une pathologie lourde pour laquelle l'imagerie médicale en question est essentielle en vue d'un diagnostic/traitement particulier et pour laquelle d’autres examens, comme une échographie ou un RX conventionnel, n'offrent pas d'alternative.</w:t>
            </w:r>
          </w:p>
        </w:tc>
      </w:tr>
      <w:tr w:rsidR="0084323B" w:rsidRPr="00287971" w14:paraId="478DE2EE" w14:textId="77777777" w:rsidTr="0084323B">
        <w:tc>
          <w:tcPr>
            <w:tcW w:w="4635" w:type="dxa"/>
          </w:tcPr>
          <w:p w14:paraId="720A7DB2" w14:textId="77777777" w:rsidR="0084323B" w:rsidRPr="00287971" w:rsidRDefault="0084323B" w:rsidP="0035539A">
            <w:pPr>
              <w:jc w:val="both"/>
              <w:rPr>
                <w:lang w:val="nl-BE"/>
              </w:rPr>
            </w:pPr>
            <w:r w:rsidRPr="00287971">
              <w:rPr>
                <w:lang w:val="nl-BE"/>
              </w:rPr>
              <w:t>Tenslotte mag ook niet uit het oog worden verloren dat een gedeelte van de betreffende apparatuur (NMR, PET) voor een groot deel door de overheden wordt gefinancierd.</w:t>
            </w:r>
          </w:p>
          <w:p w14:paraId="1784F892" w14:textId="77777777" w:rsidR="0084323B" w:rsidRPr="00287971" w:rsidRDefault="0084323B" w:rsidP="0035539A">
            <w:pPr>
              <w:jc w:val="both"/>
              <w:rPr>
                <w:lang w:val="nl-BE"/>
              </w:rPr>
            </w:pPr>
          </w:p>
        </w:tc>
        <w:tc>
          <w:tcPr>
            <w:tcW w:w="4607" w:type="dxa"/>
          </w:tcPr>
          <w:p w14:paraId="6340C9E3" w14:textId="77777777" w:rsidR="0084323B" w:rsidRPr="00287971" w:rsidRDefault="0084323B" w:rsidP="0035539A">
            <w:pPr>
              <w:jc w:val="both"/>
              <w:rPr>
                <w:lang w:val="fr-BE"/>
              </w:rPr>
            </w:pPr>
            <w:r w:rsidRPr="00287971">
              <w:rPr>
                <w:lang w:val="fr-BE"/>
              </w:rPr>
              <w:t>Enfin, il ne faut pas perdre de vue qu'une partie des appareils en question (RMN, PET) est largement financée par les autorités.</w:t>
            </w:r>
          </w:p>
        </w:tc>
      </w:tr>
      <w:tr w:rsidR="0084323B" w:rsidRPr="00287971" w14:paraId="31A95DAF" w14:textId="77777777" w:rsidTr="0084323B">
        <w:tc>
          <w:tcPr>
            <w:tcW w:w="4635" w:type="dxa"/>
          </w:tcPr>
          <w:p w14:paraId="294799A8" w14:textId="77777777" w:rsidR="0084323B" w:rsidRPr="00287971" w:rsidRDefault="0084323B" w:rsidP="0035539A">
            <w:pPr>
              <w:jc w:val="both"/>
              <w:rPr>
                <w:lang w:val="nl-BE"/>
              </w:rPr>
            </w:pPr>
            <w:r w:rsidRPr="00287971">
              <w:rPr>
                <w:lang w:val="nl-BE"/>
              </w:rPr>
              <w:t>Deze drie redenen (beperkte keuzevrijheid, essentiële diagnostiek, financiering van de apparatuur door de overheid) motiveren de beperking van de aanrekening van honorariumsupplementen.</w:t>
            </w:r>
          </w:p>
          <w:p w14:paraId="3ADE89AA" w14:textId="77777777" w:rsidR="0084323B" w:rsidRPr="00287971" w:rsidRDefault="0084323B" w:rsidP="0035539A">
            <w:pPr>
              <w:jc w:val="both"/>
              <w:rPr>
                <w:lang w:val="nl-BE"/>
              </w:rPr>
            </w:pPr>
          </w:p>
        </w:tc>
        <w:tc>
          <w:tcPr>
            <w:tcW w:w="4607" w:type="dxa"/>
          </w:tcPr>
          <w:p w14:paraId="06540B1D" w14:textId="77777777" w:rsidR="0084323B" w:rsidRDefault="0084323B" w:rsidP="0035539A">
            <w:pPr>
              <w:rPr>
                <w:highlight w:val="yellow"/>
                <w:lang w:val="fr-BE"/>
              </w:rPr>
            </w:pPr>
            <w:r>
              <w:rPr>
                <w:lang w:val="fr-BE"/>
              </w:rPr>
              <w:lastRenderedPageBreak/>
              <w:t xml:space="preserve">Ces trois raisons (liberté de choix limitée, diagnostic essentiel, financement de l'appareillage par les autorités) motivent la limitation de la facturation des suppléments d'honoraires. </w:t>
            </w:r>
          </w:p>
          <w:p w14:paraId="613B0E88" w14:textId="77777777" w:rsidR="0084323B" w:rsidRPr="00287971" w:rsidRDefault="0084323B" w:rsidP="0035539A">
            <w:pPr>
              <w:jc w:val="both"/>
              <w:rPr>
                <w:lang w:val="fr-BE"/>
              </w:rPr>
            </w:pPr>
          </w:p>
        </w:tc>
      </w:tr>
      <w:tr w:rsidR="0084323B" w:rsidRPr="00287971" w14:paraId="58E7D2CC" w14:textId="77777777" w:rsidTr="0084323B">
        <w:tc>
          <w:tcPr>
            <w:tcW w:w="4635" w:type="dxa"/>
          </w:tcPr>
          <w:p w14:paraId="497BDA17" w14:textId="77777777" w:rsidR="0084323B" w:rsidRPr="00287971" w:rsidRDefault="0084323B" w:rsidP="0035539A">
            <w:pPr>
              <w:jc w:val="both"/>
              <w:rPr>
                <w:lang w:val="nl-BE"/>
              </w:rPr>
            </w:pPr>
            <w:r w:rsidRPr="00287971">
              <w:rPr>
                <w:lang w:val="nl-BE"/>
              </w:rPr>
              <w:lastRenderedPageBreak/>
              <w:t>Het voorstel doet hierbij geen afbreuk aan het conventiestatuut van de betrokken artsen maar beperkt de aanrekening van supplementen voor bepaalde verstrekkingen die essentieel zijn voor de behandeling van patiënten waarbij ernstige gezondheidsproblemen worden vastgesteld.</w:t>
            </w:r>
          </w:p>
          <w:p w14:paraId="2F6A8431" w14:textId="77777777" w:rsidR="0084323B" w:rsidRPr="00287971" w:rsidRDefault="0084323B" w:rsidP="0035539A">
            <w:pPr>
              <w:jc w:val="both"/>
              <w:rPr>
                <w:lang w:val="nl-BE"/>
              </w:rPr>
            </w:pPr>
          </w:p>
        </w:tc>
        <w:tc>
          <w:tcPr>
            <w:tcW w:w="4607" w:type="dxa"/>
          </w:tcPr>
          <w:p w14:paraId="245E0B7E" w14:textId="77777777" w:rsidR="0084323B" w:rsidRDefault="0084323B" w:rsidP="0035539A">
            <w:pPr>
              <w:rPr>
                <w:lang w:val="fr-BE"/>
              </w:rPr>
            </w:pPr>
            <w:r>
              <w:rPr>
                <w:lang w:val="fr-BE"/>
              </w:rPr>
              <w:t xml:space="preserve">La proposition n'affecte en rien le statut de conventionnement des médecins concernés, mais limite la facturation de suppléments pour certaines prestations qui sont essentielles au traitement de patients chez qui de graves problèmes de santé sont constatés. </w:t>
            </w:r>
          </w:p>
          <w:p w14:paraId="46EBA362" w14:textId="77777777" w:rsidR="0084323B" w:rsidRPr="00287971" w:rsidRDefault="0084323B" w:rsidP="0035539A">
            <w:pPr>
              <w:jc w:val="both"/>
              <w:rPr>
                <w:lang w:val="fr-BE"/>
              </w:rPr>
            </w:pPr>
          </w:p>
        </w:tc>
      </w:tr>
      <w:tr w:rsidR="0084323B" w:rsidRPr="00287971" w14:paraId="24E821B3" w14:textId="77777777" w:rsidTr="0084323B">
        <w:tc>
          <w:tcPr>
            <w:tcW w:w="4635" w:type="dxa"/>
          </w:tcPr>
          <w:p w14:paraId="508EC109" w14:textId="77777777" w:rsidR="0084323B" w:rsidRPr="00287971" w:rsidRDefault="0084323B" w:rsidP="0035539A">
            <w:pPr>
              <w:jc w:val="both"/>
              <w:rPr>
                <w:lang w:val="nl-BE"/>
              </w:rPr>
            </w:pPr>
            <w:r w:rsidRPr="00287971">
              <w:rPr>
                <w:lang w:val="nl-BE"/>
              </w:rPr>
              <w:t xml:space="preserve">Aan de beheerder en de medische raad wordt de verplichting opgelegd om er op toe te zien dat er voldoende capaciteit wordt voorzien om de betrokken verstrekkingen aan conventietarief te kunnen realiseren binnen een tijdsperiode die wetenschappelijk aangewezen is in functie van de pathologie.  </w:t>
            </w:r>
          </w:p>
          <w:p w14:paraId="0F9069D0" w14:textId="77777777" w:rsidR="0084323B" w:rsidRPr="00287971" w:rsidRDefault="0084323B" w:rsidP="0035539A">
            <w:pPr>
              <w:jc w:val="both"/>
              <w:rPr>
                <w:lang w:val="nl-BE"/>
              </w:rPr>
            </w:pPr>
          </w:p>
        </w:tc>
        <w:tc>
          <w:tcPr>
            <w:tcW w:w="4607" w:type="dxa"/>
          </w:tcPr>
          <w:p w14:paraId="3238077C" w14:textId="77777777" w:rsidR="0084323B" w:rsidRDefault="0084323B" w:rsidP="0035539A">
            <w:pPr>
              <w:rPr>
                <w:lang w:val="fr-BE"/>
              </w:rPr>
            </w:pPr>
            <w:r>
              <w:rPr>
                <w:lang w:val="fr-BE"/>
              </w:rPr>
              <w:t xml:space="preserve">Le gestionnaire et le conseil médical se voient imposer l'obligation de veiller à ce qu'il y ait une capacité suffisante pour pouvoir réaliser les prestations concernées aux tarifs conventionnés dans un délai qui est scientifiquement indiqué en fonction de la pathologie. </w:t>
            </w:r>
          </w:p>
          <w:p w14:paraId="2A83FF5B" w14:textId="77777777" w:rsidR="0084323B" w:rsidRPr="00287971" w:rsidRDefault="0084323B" w:rsidP="0035539A">
            <w:pPr>
              <w:jc w:val="both"/>
              <w:rPr>
                <w:lang w:val="fr-BE"/>
              </w:rPr>
            </w:pPr>
          </w:p>
        </w:tc>
      </w:tr>
      <w:tr w:rsidR="0084323B" w:rsidRPr="00891674" w14:paraId="4BDF1494" w14:textId="77777777" w:rsidTr="0084323B">
        <w:tc>
          <w:tcPr>
            <w:tcW w:w="4635" w:type="dxa"/>
          </w:tcPr>
          <w:p w14:paraId="7861891F" w14:textId="77777777" w:rsidR="0084323B" w:rsidRPr="00287971" w:rsidRDefault="0084323B" w:rsidP="0035539A">
            <w:pPr>
              <w:jc w:val="both"/>
              <w:rPr>
                <w:lang w:val="nl-BE"/>
              </w:rPr>
            </w:pPr>
            <w:r w:rsidRPr="00287971">
              <w:rPr>
                <w:lang w:val="nl-BE"/>
              </w:rPr>
              <w:t xml:space="preserve">Honorariumsupplementen zullen in de toekomst enkel nog kunnen aangerekend worden voor verstrekkingen die op uitdrukkelijk verzoek van de patiënt worden uitgevoerd worden tussen 18 en </w:t>
            </w:r>
            <w:r>
              <w:rPr>
                <w:lang w:val="nl-BE"/>
              </w:rPr>
              <w:t>8</w:t>
            </w:r>
            <w:r w:rsidRPr="00287971">
              <w:rPr>
                <w:lang w:val="nl-BE"/>
              </w:rPr>
              <w:t xml:space="preserve"> u en tijdens het weekend of op feestdagen. Dit uitdrukkelijk verzoek kan bijv. voortvloeien uit de wens van de patiënt om sneller dan medisch noodzakelijk op de verstrekking beroep te doen. . Deze supplementen kunnen worden gewettigd op basis van de zogenaamde bijzondere eis van de patiënt maar ook omdat de verstrekkingen alsdan gepaard gaan met bijkomende personeelskosten. Het uitdrukkelijk verzoek en de toestemming van de patiënt zullen voorafgaandelijk moeten worden geformaliseerd. </w:t>
            </w:r>
          </w:p>
          <w:p w14:paraId="50D653D6" w14:textId="77777777" w:rsidR="0084323B" w:rsidRPr="004243EE" w:rsidRDefault="0084323B" w:rsidP="0035539A">
            <w:pPr>
              <w:jc w:val="both"/>
              <w:rPr>
                <w:lang w:val="nl-BE"/>
              </w:rPr>
            </w:pPr>
          </w:p>
        </w:tc>
        <w:tc>
          <w:tcPr>
            <w:tcW w:w="4607" w:type="dxa"/>
          </w:tcPr>
          <w:p w14:paraId="495B1009" w14:textId="77777777" w:rsidR="0084323B" w:rsidRDefault="0084323B" w:rsidP="0035539A">
            <w:pPr>
              <w:rPr>
                <w:lang w:val="fr-BE"/>
              </w:rPr>
            </w:pPr>
            <w:r>
              <w:rPr>
                <w:lang w:val="fr-BE"/>
              </w:rPr>
              <w:t xml:space="preserve">À l'avenir, des suppléments d'honoraires ne pourront plus être facturés que pour les prestations exécutées à la demande expresse du patient entre 18 h et 8 h et pendant le week-end ou les jours fériés. Cette demande expresse peut découler, par exemple, du souhait du patient de recourir à la prestation plus tôt que ce qui est médicalement nécessaire. Ces suppléments peuvent se justifier sur la base de l'exigence dite spéciale du patient, mais aussi parce que les prestations s'accompagnent dans ce cas de coûts de personnel supplémentaires. La demande expresse et l'autorisation du patient devront être formalisés au préalable. </w:t>
            </w:r>
          </w:p>
          <w:p w14:paraId="4582F433" w14:textId="77777777" w:rsidR="0084323B" w:rsidRPr="00891674" w:rsidRDefault="0084323B" w:rsidP="0035539A">
            <w:pPr>
              <w:jc w:val="both"/>
              <w:rPr>
                <w:lang w:val="fr-BE"/>
              </w:rPr>
            </w:pPr>
          </w:p>
        </w:tc>
      </w:tr>
      <w:tr w:rsidR="0084323B" w:rsidRPr="00891674" w14:paraId="288FB73F" w14:textId="77777777" w:rsidTr="0084323B">
        <w:tc>
          <w:tcPr>
            <w:tcW w:w="4635" w:type="dxa"/>
          </w:tcPr>
          <w:p w14:paraId="4825599E" w14:textId="77777777" w:rsidR="0084323B" w:rsidRPr="00287971" w:rsidRDefault="0084323B" w:rsidP="0035539A">
            <w:pPr>
              <w:jc w:val="both"/>
              <w:rPr>
                <w:lang w:val="nl-BE"/>
              </w:rPr>
            </w:pPr>
            <w:r w:rsidRPr="00287971">
              <w:rPr>
                <w:lang w:val="nl-BE"/>
              </w:rPr>
              <w:t>In geen enkel geval  zijn supplementen toegelaten wanneer de voorschrijvende arts van oordeel is dat het onderzoek bij urgentie moet worden uitgevoerd.</w:t>
            </w:r>
          </w:p>
          <w:p w14:paraId="5BEBD2CC" w14:textId="77777777" w:rsidR="0084323B" w:rsidRPr="004243EE" w:rsidRDefault="0084323B" w:rsidP="0035539A">
            <w:pPr>
              <w:jc w:val="both"/>
              <w:rPr>
                <w:lang w:val="nl-BE"/>
              </w:rPr>
            </w:pPr>
          </w:p>
        </w:tc>
        <w:tc>
          <w:tcPr>
            <w:tcW w:w="4607" w:type="dxa"/>
          </w:tcPr>
          <w:p w14:paraId="0102B222" w14:textId="77777777" w:rsidR="0084323B" w:rsidRDefault="0084323B" w:rsidP="0035539A">
            <w:pPr>
              <w:rPr>
                <w:lang w:val="fr-BE"/>
              </w:rPr>
            </w:pPr>
            <w:r>
              <w:rPr>
                <w:lang w:val="fr-BE"/>
              </w:rPr>
              <w:t xml:space="preserve">En aucun cas, des suppléments ne sont autorisés lorsque le médecin prescripteur estime que l’examen doit être exécuté d’urgence. </w:t>
            </w:r>
          </w:p>
          <w:p w14:paraId="5F78638B" w14:textId="77777777" w:rsidR="0084323B" w:rsidRPr="00891674" w:rsidRDefault="0084323B" w:rsidP="0035539A">
            <w:pPr>
              <w:jc w:val="both"/>
              <w:rPr>
                <w:lang w:val="fr-BE"/>
              </w:rPr>
            </w:pPr>
          </w:p>
        </w:tc>
      </w:tr>
    </w:tbl>
    <w:p w14:paraId="67E86459" w14:textId="77777777" w:rsidR="0084323B" w:rsidRPr="0084323B" w:rsidRDefault="0084323B">
      <w:pPr>
        <w:rPr>
          <w:lang w:val="fr-BE"/>
        </w:rPr>
      </w:pPr>
    </w:p>
    <w:sectPr w:rsidR="0084323B" w:rsidRPr="008432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4323B"/>
    <w:rsid w:val="0084323B"/>
    <w:rsid w:val="00893E93"/>
    <w:rsid w:val="008E0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09DF7"/>
  <w15:chartTrackingRefBased/>
  <w15:docId w15:val="{4789A6A3-4BD5-4127-A944-C8A0928DE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84323B"/>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4323B"/>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335617">
      <w:bodyDiv w:val="1"/>
      <w:marLeft w:val="0"/>
      <w:marRight w:val="0"/>
      <w:marTop w:val="0"/>
      <w:marBottom w:val="0"/>
      <w:divBdr>
        <w:top w:val="none" w:sz="0" w:space="0" w:color="auto"/>
        <w:left w:val="none" w:sz="0" w:space="0" w:color="auto"/>
        <w:bottom w:val="none" w:sz="0" w:space="0" w:color="auto"/>
        <w:right w:val="none" w:sz="0" w:space="0" w:color="auto"/>
      </w:divBdr>
    </w:div>
    <w:div w:id="144476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631D138BF2AD4587BD0CFEF0969B45" ma:contentTypeVersion="8" ma:contentTypeDescription="Create a new document." ma:contentTypeScope="" ma:versionID="86edb8b41253d2ddc5c1f80987f19cb7">
  <xsd:schema xmlns:xsd="http://www.w3.org/2001/XMLSchema" xmlns:xs="http://www.w3.org/2001/XMLSchema" xmlns:p="http://schemas.microsoft.com/office/2006/metadata/properties" xmlns:ns3="bbd55b98-7ff9-45fa-8da9-a78f491a4567" xmlns:ns4="c4918415-85d1-4959-b8f5-37465e6d58e3" targetNamespace="http://schemas.microsoft.com/office/2006/metadata/properties" ma:root="true" ma:fieldsID="dd37ff7b28f9ee3631b912e4a6d472ef" ns3:_="" ns4:_="">
    <xsd:import namespace="bbd55b98-7ff9-45fa-8da9-a78f491a4567"/>
    <xsd:import namespace="c4918415-85d1-4959-b8f5-37465e6d58e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55b98-7ff9-45fa-8da9-a78f491a45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918415-85d1-4959-b8f5-37465e6d58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bd55b98-7ff9-45fa-8da9-a78f491a4567" xsi:nil="true"/>
  </documentManagement>
</p:properties>
</file>

<file path=customXml/itemProps1.xml><?xml version="1.0" encoding="utf-8"?>
<ds:datastoreItem xmlns:ds="http://schemas.openxmlformats.org/officeDocument/2006/customXml" ds:itemID="{C13C6E36-5BA5-4065-B9D6-8C5847B88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d55b98-7ff9-45fa-8da9-a78f491a4567"/>
    <ds:schemaRef ds:uri="c4918415-85d1-4959-b8f5-37465e6d58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C3A8E4-8477-40BC-86AE-238CF409FC09}">
  <ds:schemaRefs>
    <ds:schemaRef ds:uri="http://schemas.microsoft.com/sharepoint/v3/contenttype/forms"/>
  </ds:schemaRefs>
</ds:datastoreItem>
</file>

<file path=customXml/itemProps3.xml><?xml version="1.0" encoding="utf-8"?>
<ds:datastoreItem xmlns:ds="http://schemas.openxmlformats.org/officeDocument/2006/customXml" ds:itemID="{05DEDA09-34EF-429F-98BC-35659557A393}">
  <ds:schemaRefs>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purl.org/dc/elements/1.1/"/>
    <ds:schemaRef ds:uri="c4918415-85d1-4959-b8f5-37465e6d58e3"/>
    <ds:schemaRef ds:uri="http://purl.org/dc/terms/"/>
    <ds:schemaRef ds:uri="http://schemas.openxmlformats.org/package/2006/metadata/core-properties"/>
    <ds:schemaRef ds:uri="bbd55b98-7ff9-45fa-8da9-a78f491a4567"/>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1898</Words>
  <Characters>10821</Characters>
  <Application>Microsoft Office Word</Application>
  <DocSecurity>0</DocSecurity>
  <Lines>90</Lines>
  <Paragraphs>25</Paragraphs>
  <ScaleCrop>false</ScaleCrop>
  <Company/>
  <LinksUpToDate>false</LinksUpToDate>
  <CharactersWithSpaces>12694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Schoenmaeckers Jeroen</dc:creator>
  <cp:keywords/>
  <dc:description/>
  <cp:lastModifiedBy>Schoenmaeckers Jeroen</cp:lastModifiedBy>
  <cp:revision>1</cp:revision>
  <dcterms:created xsi:type="dcterms:W3CDTF">2023-06-27T13:18:00Z</dcterms:created>
  <dcterms:modified xsi:type="dcterms:W3CDTF">2023-06-27T13:26:00Z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0x01010013631D138BF2AD4587BD0CFEF0969B45</vt:lpwstr>
  </property>
</Properties>
</file>